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TOMASO MONTANARI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(Presidente di LeG)</w:t>
      </w:r>
      <w:bookmarkStart w:id="0" w:name="_GoBack"/>
      <w:bookmarkEnd w:id="0"/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Cari amici di Libertà e Giustizia,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vi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ringrazio per la vostra fiducia, che cercherò di meritare servendo l’associazione come un pari tra i pari.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Lo scambio di ruoli tra me e Nadia Urbinati è il segno di una perfetta continuità, quella di una presidenza collegiale che continuerà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ad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essere composta dalle stesse persone (Tomaso Montanari, Nadia Urbinati, Sandra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Bonsanti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Lorenza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Carlassare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Roberta De Monticelli, Paul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Ginsborg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Valentina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Pazè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Elisabetta Rubini), alle quali ha accettato di aggiungersi Salvatore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Settis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>: che saluto e ringrazio con affetto.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Vorrei salutare e ringraziare anche i nostri garanti, tra i quali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permettemi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di ricordare con affetto Alberto Vannucci.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Vorrei, poi, ringraziare soprattutto Nadia, per lo splendido lavoro che ha fatto in questo duro anno di presidenza: l’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anno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della durissima, faticosa quanto esaltante, campagna referendaria. Un anno che il 4 dicembre ha avuto il suo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faustissimo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culmine anche grazie al suo impegno.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Vorrei quindi ringraziare calorosamente, e salutare con affetto, il nostro presidente onorario (e per così dire nume tutelare)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Gustazo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Zagrebelsky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la nostra presidente emerita Sandra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Bonsanti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(cuore pulsante di Libertà e Giustizia), e quindi tutti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coloro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che lavorano per e insieme a noi. Permettetemi di ricordare almeno Stefano Innocenti (l’uomo macchina di Libertà e Giustizia), Gioia Baggio (il cui lavoro di segreteria è ogni giorno più prezioso), Rossella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Guadagnini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(la nostra voce!).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E poi Francesco Pallante, cioè l’anima organizzativa ma soprattutto culturale e morale delle Scuole: che sono lo strumento più importante, tra i tanti di Libertà e Giustizia. Ed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è per questo che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chiedo a Francesco di voler essere stabilmente associato al lavoro del Consiglio di Presidenza.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Infine, grazie al meraviglioso Circolo di Bologna che ha organizzato in modo impeccabile, generoso e festoso (goloso, direi anche), questa nostra bellissima giornata.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A proposito dei circoli, vorrei dire subito che, durante la mia presidenza,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li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visiterò personalmente tutti (insieme ai membri della presidenza che vorranno e potranno accompagnarmi), con incontri di circoli e incontri pubblici, secondo modalità che vi proporrò presto. I circoli sono la vista stessa di Libertà e Giustizia, e il mio primo impegno sarà per la loro crescita, la loro salute, il loro proficuo lavoro.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E ora, vorrei dire poche parole sul cammino che ci aspetta.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Non tanto sui temi, sulle sfide, sui nodi che affronteremo: perché su questo il bellissimo, altissimo, discorso che Nadia ha appena pronunciato trova la mia totale, sperticata, approvazione.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lastRenderedPageBreak/>
        <w:t>I quattro punti focali allineati da Nadia – il lavoro (la sua dignità e il suo nesso intimo con la democrazia), la scuola pubblica (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che bisogna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avere il coraggio di ‘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deriformare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>’), l’uguaglianza (la vera grande questione del nostro tempo), e l’Europa (con una sovranità europea da costruire su strade diverse da quelle che sembrano ora portarla alla fine) – e quelli fissati dal messaggio di Gustavo bastano a dirci cosa dobbiamo fare, e come vogliamo farlo.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Da parte mia vorrei solo offrire alla nostra riflessione comune, quattro testi che mi paiono altrettante torce, utili a illuminare il nostro cammino prossimo.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Il primo è un passo delle </w:t>
      </w:r>
      <w:r>
        <w:rPr>
          <w:rFonts w:ascii="Helvetica Neue" w:hAnsi="Helvetica Neue" w:cs="Helvetica Neue"/>
          <w:i/>
          <w:iCs/>
          <w:color w:val="202020"/>
          <w:sz w:val="28"/>
          <w:szCs w:val="28"/>
        </w:rPr>
        <w:t>Città invisibili</w:t>
      </w:r>
      <w:r>
        <w:rPr>
          <w:rFonts w:ascii="Helvetica Neue" w:hAnsi="Helvetica Neue" w:cs="Helvetica Neue"/>
          <w:color w:val="202020"/>
          <w:sz w:val="28"/>
          <w:szCs w:val="28"/>
        </w:rPr>
        <w:t xml:space="preserve"> di Italo Calvino: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L’inferno dei viventi non è qualcosa che sarà; se ce n’è uno, è quello che è già qui, l’inferno che abitiamo tutti i giorni, che formiamo stando insieme. Due modi ci sono per non soffrirne. Il primo riesce facile a molti: accettare l’inferno e diventarne parte fino al punto di non vederlo più. Il secondo è rischioso ed esige attenzione e apprendimento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continui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>: cercare e saper riconoscere chi e cosa, in mezzo all’inferno, non è inferno, e farlo durare, e dargli spazio».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Ebbene, ci siamo opposti fieramente a chi minacciava di fare </w:t>
      </w:r>
      <w:r>
        <w:rPr>
          <w:rFonts w:ascii="Helvetica Neue" w:hAnsi="Helvetica Neue" w:cs="Helvetica Neue"/>
          <w:i/>
          <w:iCs/>
          <w:color w:val="202020"/>
          <w:sz w:val="28"/>
          <w:szCs w:val="28"/>
        </w:rPr>
        <w:t>tabula rasa</w:t>
      </w:r>
      <w:r>
        <w:rPr>
          <w:rFonts w:ascii="Helvetica Neue" w:hAnsi="Helvetica Neue" w:cs="Helvetica Neue"/>
          <w:color w:val="202020"/>
          <w:sz w:val="28"/>
          <w:szCs w:val="28"/>
        </w:rPr>
        <w:t xml:space="preserve"> della civile convivenza attaccando la nostra Costituzione. Abbiamo combattuto una buona battaglia. Ora, in questo tempo di pace – per quanto è possibile che lo sia e per quanto durerà – credo che Libertà e Giustizia debba investire altrettanta energia nella ricerca, nell’aiuto e nel sostegno di ciò che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non è inferno». L’articolo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2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del nostro Statuto – e a noi piace attuarli, gli statuti! – dice che Libertà e Giustizia «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dà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impulso a rapporti e intese con persone fisiche e giuridiche, enti, organizzazioni, movimenti, associazioni, fondazioni che perseguono fini analoghi». Ecco, è quello che dobbiamo fare: intraprendendo un cammino comune con ciò che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non è inferno». Penso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all’Anpi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(e qua saluto con deferente affetto il suo presidente Carlo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Smuraglia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, uno dei punti di riferimento morale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del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Paese), a Libera e a molte altre realtà. Più in generale, Libertà e Giustizia deve essere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capace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di vedere, incoraggiare, abbracciare gli annunci di futuro, le promesse di cambiamento che punteggiano il Paese senza che nessuno presti loro attenzione.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Accanto alla costruzione del futuro, la critica del presente. «Uno degli idoli più comuni – scrive Antonio Gramsci nei </w:t>
      </w:r>
      <w:r>
        <w:rPr>
          <w:rFonts w:ascii="Helvetica Neue" w:hAnsi="Helvetica Neue" w:cs="Helvetica Neue"/>
          <w:i/>
          <w:iCs/>
          <w:color w:val="202020"/>
          <w:sz w:val="28"/>
          <w:szCs w:val="28"/>
        </w:rPr>
        <w:t>Quaderni del carcere</w:t>
      </w:r>
      <w:r>
        <w:rPr>
          <w:rFonts w:ascii="Helvetica Neue" w:hAnsi="Helvetica Neue" w:cs="Helvetica Neue"/>
          <w:color w:val="202020"/>
          <w:sz w:val="28"/>
          <w:szCs w:val="28"/>
        </w:rPr>
        <w:t xml:space="preserve"> – è quello di credere che tutto ciò che esiste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è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naturale esista». Ecco, Libertà e Giustizia non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deve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stancarsi di sottoporre ad una critica radicale tutto ciò che esiste.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Riusciremo a convincere i nostri concittadini? Non è forse questa la domanda giusta, come ci ricorda un passo dedicato a Martin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Buber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dal magnifico saggio di Michael Walzer sull’intellettuale militante: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«Il successo così come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viene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misurato dal mondo non è il metro adatto a valutare la critica sociale. Il critico si misura dalle tracce che recano coloro che lo ascoltano e leggono le sue opere, dai conflitti che egli li costringe a sperimentare, non solo nel presente, ma anche nel futuro, e dai ricordi che quei conflitti lasciano. Egli non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riscuote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successo convincendo la gente – poiché a volte ciò è semplicemente impossibile – quanto mantenendo viva la discussione critica.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Buber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 xml:space="preserve"> si sentì abbastanza spesso come un profeta nel deserto, ma la reazione giusta a questa sensazione, egli scrisse, non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è ritirarsi nel ruolo dello spettatore silenzioso, come fece Platone». Il profeta deve continuare a parlare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deve trasmettere il suo messaggio.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Verrà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frainteso, mal interpretato, usato in maniera impropria, o potrà persino rafforzare e indurire la gente nella sua mancanza di fede. Ma il suo pungiglione brucerà dentro di loro per tutto il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tempo»</w:t>
      </w:r>
      <w:proofErr w:type="gramEnd"/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In una società, e in una politica, in cui il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 xml:space="preserve"> ‘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>successo’ è l’unico metro di giudizio, il minimo che ci deve aspettare da un’associazione come Libertà e Giustizia è la conoscenza e la pratica di un metro alternativo. La reazione alla marginalizzazione del pensiero critico non può essere l’abbandono della critica, e l’</w:t>
      </w:r>
      <w:proofErr w:type="spellStart"/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endorsement</w:t>
      </w:r>
      <w:proofErr w:type="spellEnd"/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del reale: o l’unico risultato sarà privare i nostri concittadini di una delle funzioni fondamentali di una democrazia moderna complessa. Ebbene, noi vogliamo garantire questa funzione.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Ma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la critica è sufficiente? In moltissimi, dopo il 4 dicembre, chiedono – a molti di noi singolarmente e a Libertà e Giustizia come associazione – di ‘scendere in </w:t>
      </w:r>
      <w:proofErr w:type="spellStart"/>
      <w:r>
        <w:rPr>
          <w:rFonts w:ascii="Helvetica Neue" w:hAnsi="Helvetica Neue" w:cs="Helvetica Neue"/>
          <w:color w:val="202020"/>
          <w:sz w:val="28"/>
          <w:szCs w:val="28"/>
        </w:rPr>
        <w:t>campo’</w:t>
      </w:r>
      <w:proofErr w:type="spellEnd"/>
      <w:r>
        <w:rPr>
          <w:rFonts w:ascii="Helvetica Neue" w:hAnsi="Helvetica Neue" w:cs="Helvetica Neue"/>
          <w:color w:val="202020"/>
          <w:sz w:val="28"/>
          <w:szCs w:val="28"/>
        </w:rPr>
        <w:t>, cioè di candidarci, o trasformarci in una lista, o in un partito. Nadia e Gustavo hanno già detto perché non lo faremo.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Io qua vorrei aggiungere, grazie ad una magnifica riflessione di Norberto Bobbio, che noi facciamo già politica, ma una ‘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politica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diversa’: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Solo chi crede che la politica non sia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tutto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giunge a convincersi che la cultura svolge un’azione a lunga scadenza, anch’essa politica, ma di una politica diversa. La politica ordinaria, piacerà o non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piacerà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, è la sfera dei rapporti umani in cui si esercita la volontà di potenza, anche se coloro che la esercitano credono che la loro potenza – beninteso non quella degli altri – sia a fin di bene. Ne abbiamo esempi sotto gli occhi tutti i giorni. E del resto che altro è la storia dei conflitti politici che hanno insanguinato la storia umana se non la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storia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di classi dominanti che schiacciano le classi dominate e altre classi dominanti, in una catena senza fine di cui conosciamo il primo anello – Caino che uccide Abele – ma non siamo in grado di prevedere l’ultimo (Caino che uccidendo Abele finirà per uccidere anche se stesso?). Solo chi crede in un’altra storia – vi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crede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perché la vede correre parallelamente alla storia della volontà di potenza –, può concepire un compito della cultura diverso da quello di servire i potenti per renderli più potenti, o da quello, ugualmente sterile, di appartarsi e di parlare con se stesso. Io personalmente credo, ho sempre creduto, in quest’altra storia.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Ecco, anche noi vediamo correre quest’altra storia, non fatta di volontà di potenza, ma di conoscenza, critica, ricerca. E sentiamo di farne parte. E sentiamo anche che la prima politica – quella attiva, quella elettiva: che è una cosa nobile e necessaria – ha bisogno di quest’altra politica, intorno a sé. Insomma, se vogliamo evitare che la politica si trasformi in potere, è necessario un continuo, attivissimo, esercizio critico diffuso: e questa è la nostra missione. Forgiare gli strumenti attraverso i quali i cittadini possano esercitare la loro sovranità.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Abbiamo detto cosa vogliamo fare, e come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vogliamo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farlo. Vorrei aggiungere – infine – perché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vogliamo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farlo. Un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 xml:space="preserve"> ‘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>perché’ che ha a che fare con la dedizione, vorrei dire con l’amore, che spinge ciascuno di voi ad essere qua, oggi, e a dedicare una parte delle vostre energie e della vostra vita a Libertà e Giustizia.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Vorrei dirlo con alcune delle parole che Platone, nell’</w:t>
      </w:r>
      <w:r>
        <w:rPr>
          <w:rFonts w:ascii="Helvetica Neue" w:hAnsi="Helvetica Neue" w:cs="Helvetica Neue"/>
          <w:i/>
          <w:iCs/>
          <w:color w:val="202020"/>
          <w:sz w:val="28"/>
          <w:szCs w:val="28"/>
        </w:rPr>
        <w:t>Apologia</w:t>
      </w:r>
      <w:r>
        <w:rPr>
          <w:rFonts w:ascii="Helvetica Neue" w:hAnsi="Helvetica Neue" w:cs="Helvetica Neue"/>
          <w:color w:val="202020"/>
          <w:sz w:val="28"/>
          <w:szCs w:val="28"/>
        </w:rPr>
        <w:t>, presta a Socrate: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Ora mi si potrebbe dire: «Ma una volta via di qui, Socrate, non potreste startene zitto e quieto?» Ecco precisamente il punto su cui è più difficile persuadere alcuni di voi … Perché se affermo che ciò significherebbe disubbidire al dio, per cui di stare quieto non i riuscirebbe, non mi crederete e penserete che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sto scherzando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… Ancor meno mi crederete se dico che il più grande bene dato all’uomo è proprio questa possibilità di ragionare quotidianamente sulla virtù e sui vari temi su cui mi avete sentito discutere o esaminare me stesso e altri, e che una vita senza ricerca non vale la pena di essere vissuta dall’uomo. Ma le cose stanno così, e ve lo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ripeto anche se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non è facile persuadervene.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Socrate potrebbe salvarsi, se acconsentisse a farsi i fatti propri: tacendo, una buona volta. E ciascuno di noi potrebbe ‘salvare’ tempo, energie – e forse anche occasioni e rapporti e piccoli e grandi poteri – tacendo, e smettendo di occuparsi del bene comune.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Ma la verità è che non possiamo farlo: il senso morale – la nostra aspirazione alla libertà e il nostro senso di giustizia –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ce lo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impediscono, come il ‘dio’ lo impediva a Socrate.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E, con Socrate, anche noi di Libertà e Giustizia pensiamo che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«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>una vita senza ricerca non vale la pena di essere vissuta dall’uomo».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 xml:space="preserve">Buon lavoro, </w:t>
      </w:r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buon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 xml:space="preserve"> viaggio insieme, e grazie!</w:t>
      </w:r>
    </w:p>
    <w:p w:rsidR="004B7E48" w:rsidRDefault="004B7E48" w:rsidP="004B7E48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202020"/>
          <w:sz w:val="28"/>
          <w:szCs w:val="28"/>
        </w:rPr>
      </w:pPr>
      <w:r>
        <w:rPr>
          <w:rFonts w:ascii="Helvetica Neue" w:hAnsi="Helvetica Neue" w:cs="Helvetica Neue"/>
          <w:color w:val="202020"/>
          <w:sz w:val="28"/>
          <w:szCs w:val="28"/>
        </w:rPr>
        <w:t>Tomaso Montanari</w:t>
      </w:r>
    </w:p>
    <w:p w:rsidR="00E3224F" w:rsidRDefault="004B7E48" w:rsidP="004B7E48">
      <w:proofErr w:type="gramStart"/>
      <w:r>
        <w:rPr>
          <w:rFonts w:ascii="Helvetica Neue" w:hAnsi="Helvetica Neue" w:cs="Helvetica Neue"/>
          <w:color w:val="202020"/>
          <w:sz w:val="28"/>
          <w:szCs w:val="28"/>
        </w:rPr>
        <w:t>(*</w:t>
      </w:r>
      <w:proofErr w:type="gramEnd"/>
      <w:r>
        <w:rPr>
          <w:rFonts w:ascii="Helvetica Neue" w:hAnsi="Helvetica Neue" w:cs="Helvetica Neue"/>
          <w:color w:val="202020"/>
          <w:sz w:val="28"/>
          <w:szCs w:val="28"/>
        </w:rPr>
        <w:t>)  Il testo è stato letto a Bologna, sabato 11 marzo,</w:t>
      </w:r>
      <w:r>
        <w:rPr>
          <w:rFonts w:ascii="Helvetica Neue" w:hAnsi="Helvetica Neue" w:cs="Helvetica Neue"/>
          <w:b/>
          <w:bCs/>
          <w:color w:val="202020"/>
          <w:sz w:val="28"/>
          <w:szCs w:val="28"/>
        </w:rPr>
        <w:t> </w:t>
      </w:r>
      <w:r>
        <w:rPr>
          <w:rFonts w:ascii="Helvetica Neue" w:hAnsi="Helvetica Neue" w:cs="Helvetica Neue"/>
          <w:color w:val="202020"/>
          <w:sz w:val="28"/>
          <w:szCs w:val="28"/>
        </w:rPr>
        <w:t>in occasione dell’assemblea annuale dei soci</w:t>
      </w:r>
    </w:p>
    <w:sectPr w:rsidR="00E3224F" w:rsidSect="000E713B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48"/>
    <w:rsid w:val="000E713B"/>
    <w:rsid w:val="004B7E48"/>
    <w:rsid w:val="00E322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C03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1630</Words>
  <Characters>9291</Characters>
  <Application>Microsoft Macintosh Word</Application>
  <DocSecurity>0</DocSecurity>
  <Lines>77</Lines>
  <Paragraphs>21</Paragraphs>
  <ScaleCrop>false</ScaleCrop>
  <Company/>
  <LinksUpToDate>false</LinksUpToDate>
  <CharactersWithSpaces>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Canaletti</dc:creator>
  <cp:keywords/>
  <dc:description/>
  <cp:lastModifiedBy>Rodolfo Canaletti</cp:lastModifiedBy>
  <cp:revision>1</cp:revision>
  <dcterms:created xsi:type="dcterms:W3CDTF">2017-03-16T14:35:00Z</dcterms:created>
  <dcterms:modified xsi:type="dcterms:W3CDTF">2017-03-16T14:36:00Z</dcterms:modified>
</cp:coreProperties>
</file>